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79" w:rsidRDefault="00947479"/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Приказ об учетной политике организации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ПРИКАЗ N ____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 xml:space="preserve">Об учетной политике организации </w:t>
      </w:r>
      <w:proofErr w:type="gramStart"/>
      <w:r w:rsidRPr="00292F2F">
        <w:rPr>
          <w:b/>
          <w:bCs/>
        </w:rPr>
        <w:t>на  20</w:t>
      </w:r>
      <w:proofErr w:type="gramEnd"/>
      <w:r w:rsidRPr="00292F2F">
        <w:rPr>
          <w:b/>
          <w:bCs/>
        </w:rPr>
        <w:t>__ год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   г.__________________                                                                  "____" ___________20 __   г.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На основании и в соответствии с Федеральным законом "О бухгалтерском учете", Положением по ведению бухгалтерского учета и бухгалтерской отчетности в РФ, Положением по бухгалтерскому учету "Учетная политика организации" (ПБУ 1/98)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ПРИКАЗЫВАЮ: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 </w:t>
      </w:r>
      <w:r w:rsidRPr="00292F2F">
        <w:rPr>
          <w:bCs/>
        </w:rPr>
        <w:t> I. Принять на 20___ год следующую учетную политику: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1. Износ по основным средствам начислять: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- линейным способом - по основным средствам, относящимся к группам;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- способом уменьшаемого остатка - по основным средствам, относящимся к группам.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2. Произвести до 31.12.20__ переоценку основных средств по следующим группам объектов: _______________.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3. При выбытии остаточную стоимость основных средств формировать на счете 01.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4. Стоимость нематериальных активов погашать ___________ способом исходя из норм, определенных с учетом срока полезного использования. Если срок полезного использования нематериального актива документацией не определен, то он устанавливается приказом руководителя.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Отражать начисление амортизации с применением (без применения) счета 05 "Амортизация нематериальных активов".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5. Затраты на ремонт основных средств включать в себестоимость продукции по фактическим затратам.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6. Операции по заготовлению и приобретению материальных ценностей отражать в бухгалтерском учете с использованием (без использования) счетов "Заготовление и приобретение материалов" и "Отклонение в стоимости материалов".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7. Стоимость материальных запасов, списываемых в производство, определять по методу ________________.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8. Организовать учет затрат на производство.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 xml:space="preserve">Затраты на производство каждого вида продукции собирать по дебету счета 20 "Основное производство" на отдельных </w:t>
      </w:r>
      <w:proofErr w:type="spellStart"/>
      <w:r w:rsidRPr="00292F2F">
        <w:rPr>
          <w:bCs/>
        </w:rPr>
        <w:t>субсчетах</w:t>
      </w:r>
      <w:proofErr w:type="spellEnd"/>
      <w:r w:rsidRPr="00292F2F">
        <w:rPr>
          <w:bCs/>
        </w:rPr>
        <w:t>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lastRenderedPageBreak/>
        <w:t xml:space="preserve">Затраты общепроизводственного назначения собирать по дебету счета 25 "Общепроизводственные расходы" и в конце отчетного периода данные расходы распределять между видами продукции, учтенными на отдельных </w:t>
      </w:r>
      <w:proofErr w:type="spellStart"/>
      <w:r w:rsidRPr="00292F2F">
        <w:rPr>
          <w:bCs/>
        </w:rPr>
        <w:t>субсчетах</w:t>
      </w:r>
      <w:proofErr w:type="spellEnd"/>
      <w:r w:rsidRPr="00292F2F">
        <w:rPr>
          <w:bCs/>
        </w:rPr>
        <w:t xml:space="preserve"> по счету 20, пропорционально заработной плате основных рабочих. Незавершенное производство оценивается методом инвентаризации по фактическим производственным затратам.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Коммерческие (издержки обращения) и управленческие расходы признавать в себестоимости проданной продукции полностью в отчетном периоде их признания в качестве расходов по обычным видам деятельности.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Общехозяйственные расходы распределять пропорционально выручке от реализации продукции (работ, услуг).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9. Учет готовой продукции осуществлять на счете 43 "Готовая продукция" по фактической себестоимости.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10. Сроки и направление списания расходов будущих периодов определять на основании условий, в соответствии с которыми произведены данные расходы, и действующего законодательства, а при необходимости - приказа руководителя предприятия.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11. Товары учитывать по покупной стоимости.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12. Расходы по заготовке и доставке товаров учитывать в составе покупной стоимости товаров.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13. Резервы предстоящих расходов и платежей (не) создавать.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14. Резервы по сомнительным долгам (не) создавать.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15. Переводить долгосрочную кредиторскую задолженность (по кредитам и займам) в краткосрочную с момента, когда по условиям договора до возврата основной суммы долга осталось 365 дней.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16. Периодичность и порядок распределения дивидендов определять собранием акционеров (участников).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   </w:t>
      </w:r>
    </w:p>
    <w:p w:rsidR="00292F2F" w:rsidRPr="00292F2F" w:rsidRDefault="00292F2F" w:rsidP="00292F2F">
      <w:pPr>
        <w:rPr>
          <w:bCs/>
        </w:rPr>
      </w:pPr>
      <w:r w:rsidRPr="00292F2F">
        <w:rPr>
          <w:b/>
          <w:bCs/>
        </w:rPr>
        <w:t>II. Главному бухгалтеру: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1. Обеспечить ведение бухгалтерского учета в полном соответствии с Положением по ведению бухгалтерского учета и бухгалтерской отчетности в РФ, Планом счетов бухгалтерского учета и другими действующими нормативными актами в области методологии бухгалтерского учета.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2. Обеспечить своевременное и полное представление необходимой отчетности заинтересованным пользователям в соответствии в действующим законодательством.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3. При ведении бухгалтерского учета обеспечить возможность оперативного учета изменений действующего законодательства.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4. При формировании затрат на производство продукции (работ, услуг) руководствоваться ПБУ 10/99.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5. Обеспечить возможность достоверного определения налогооблагаемой базы для расчета с бюджетом и внебюджетными фондами по установленным налогам и прочим платежам в соответствии с действующим налоговым законодательством.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6. Обеспечить с 01.01.20__ переход на новый План счетов.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lastRenderedPageBreak/>
        <w:t>7. Руководствуясь новым Планом счетов, разработать рабочий план счетов бухгалтерского учета для отражения необходимых коммерческих и финансово-хозяйственных операций.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8. Обеспечить введение самостоятельно разработанных с учетом специфики деятельности учетных регистров, которые будут использоваться при осуществлении бухгалтерского учета (в случае необходимости).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9. Установить необходимую и пригодную систему учетных регистров, определив их перечень, построение, последовательность, технику и взаимосвязь производимых в них записей. До 31 декабря 20__ г. ознакомить с новым порядком исполнителей.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III. Контроль за исполнением настоящего приказа возлагаю на себя.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 </w:t>
      </w:r>
    </w:p>
    <w:p w:rsidR="00292F2F" w:rsidRPr="00292F2F" w:rsidRDefault="00292F2F" w:rsidP="00292F2F">
      <w:pPr>
        <w:rPr>
          <w:bCs/>
        </w:rPr>
      </w:pPr>
      <w:r w:rsidRPr="00292F2F">
        <w:rPr>
          <w:bCs/>
        </w:rPr>
        <w:t>Руководитель: ________________________</w:t>
      </w:r>
    </w:p>
    <w:p w:rsidR="00292F2F" w:rsidRDefault="00292F2F">
      <w:bookmarkStart w:id="0" w:name="_GoBack"/>
      <w:bookmarkEnd w:id="0"/>
    </w:p>
    <w:sectPr w:rsidR="0029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1D"/>
    <w:rsid w:val="00292F2F"/>
    <w:rsid w:val="00947479"/>
    <w:rsid w:val="00B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030"/>
  <w15:chartTrackingRefBased/>
  <w15:docId w15:val="{AEC56EDE-C969-41C1-A020-84EF108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2024-06-09T19:36:00Z</dcterms:created>
  <dcterms:modified xsi:type="dcterms:W3CDTF">2024-06-09T19:36:00Z</dcterms:modified>
</cp:coreProperties>
</file>